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7ECA5" w14:textId="77777777" w:rsidR="007E1DDE" w:rsidRDefault="007E1DDE" w:rsidP="00005129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 xml:space="preserve">Приложение к постановлению </w:t>
      </w:r>
    </w:p>
    <w:p w14:paraId="56825121" w14:textId="77777777" w:rsidR="00B1027C" w:rsidRDefault="007E1DDE" w:rsidP="00B1027C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Президиума</w:t>
      </w:r>
      <w:r w:rsidR="00B1027C">
        <w:rPr>
          <w:rFonts w:ascii="Times New Roman" w:hAnsi="Times New Roman" w:cs="Times New Roman"/>
          <w:sz w:val="28"/>
          <w:szCs w:val="28"/>
        </w:rPr>
        <w:t xml:space="preserve"> </w:t>
      </w:r>
      <w:r w:rsidRPr="007E1DDE">
        <w:rPr>
          <w:rFonts w:ascii="Times New Roman" w:hAnsi="Times New Roman" w:cs="Times New Roman"/>
          <w:sz w:val="28"/>
          <w:szCs w:val="28"/>
        </w:rPr>
        <w:t xml:space="preserve">Федерации </w:t>
      </w:r>
    </w:p>
    <w:p w14:paraId="6B3DA774" w14:textId="606F46B0" w:rsidR="00E445ED" w:rsidRDefault="007E1DDE" w:rsidP="00B1027C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профсоюзов Челябинской области</w:t>
      </w:r>
    </w:p>
    <w:p w14:paraId="5BC472F2" w14:textId="555B568B" w:rsidR="001A071F" w:rsidRDefault="001A071F" w:rsidP="00005129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367AAD">
        <w:rPr>
          <w:rFonts w:ascii="Times New Roman" w:hAnsi="Times New Roman" w:cs="Times New Roman"/>
          <w:sz w:val="28"/>
          <w:szCs w:val="28"/>
        </w:rPr>
        <w:t xml:space="preserve"> </w:t>
      </w:r>
      <w:r w:rsidR="00163982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3982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367AAD">
        <w:rPr>
          <w:rFonts w:ascii="Times New Roman" w:hAnsi="Times New Roman" w:cs="Times New Roman"/>
          <w:sz w:val="28"/>
          <w:szCs w:val="28"/>
        </w:rPr>
        <w:t>5</w:t>
      </w:r>
      <w:r w:rsidR="00163982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63982">
        <w:rPr>
          <w:rFonts w:ascii="Times New Roman" w:hAnsi="Times New Roman" w:cs="Times New Roman"/>
          <w:sz w:val="28"/>
          <w:szCs w:val="28"/>
        </w:rPr>
        <w:t>4 -</w:t>
      </w:r>
    </w:p>
    <w:p w14:paraId="591B8BDE" w14:textId="10D1B039" w:rsidR="007E1DDE" w:rsidRDefault="007E1DDE" w:rsidP="007E1D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896805" w14:textId="77777777" w:rsidR="007E1DDE" w:rsidRDefault="007E1DDE" w:rsidP="007E1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76235C0" w14:textId="0E1D6920" w:rsidR="007E1DDE" w:rsidRDefault="007E1DDE" w:rsidP="007E1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приобретения путёвок в детские оздоровительные лагеря</w:t>
      </w:r>
    </w:p>
    <w:p w14:paraId="7CC6C435" w14:textId="70621FE9" w:rsidR="007E1DDE" w:rsidRDefault="007E1DDE" w:rsidP="007E1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D81D97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1. Источниками финансового обеспечения организации отдыха детей в каникулярное время в загородных лагерях являются:</w:t>
      </w:r>
    </w:p>
    <w:p w14:paraId="4AF3F109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субсидии муниципальным учреждениям и юридическим лицам из бюджета, предусмотренного в текущем финансовом году за счёт средств областного и (или) местного бюджетов;</w:t>
      </w:r>
    </w:p>
    <w:p w14:paraId="0B72D58B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средства родителей.</w:t>
      </w:r>
    </w:p>
    <w:p w14:paraId="4F76DEDB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2. Приобретение путевок в загородные лагеря осуществляется в местах, установленных загородными лагерями (для детей Челябинского городского округа – непосредственно в загородных лагерях; для детей из муниципальных образований Челябинской области – в управлениях, отделах образования, в школах и непосредственно в загородных лагерях), за наличный или безналичный расчёт:</w:t>
      </w:r>
    </w:p>
    <w:p w14:paraId="1E505B97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предприятиями и учреждениями любой формы собственности для организации отдыха детей сотрудников;</w:t>
      </w:r>
    </w:p>
    <w:p w14:paraId="0BD67624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родителями (законными представителями) детей.</w:t>
      </w:r>
    </w:p>
    <w:p w14:paraId="3D7F0517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3. Основанием для реализации права на отдых является предоставление юридическими или физическими лицами для приобретения путевок следующих документов:</w:t>
      </w:r>
    </w:p>
    <w:p w14:paraId="4CF31E2B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копии свидетельства о рождении или паспорта ребёнка;</w:t>
      </w:r>
    </w:p>
    <w:p w14:paraId="25D93728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справки установленного образца с места учёбы ребёнка;</w:t>
      </w:r>
    </w:p>
    <w:p w14:paraId="1925C3B7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– иных документов, перечень которых установлен загородным лагерем.</w:t>
      </w:r>
    </w:p>
    <w:p w14:paraId="58D1F036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4. Загородный лагерь использует полученную субсидию на возмещение затрат на организацию отдыха детей путем уменьшения части стоимости путевки юридическим и физическим лицам в пределах общего объема выделенной субсидии.</w:t>
      </w:r>
    </w:p>
    <w:p w14:paraId="08F93252" w14:textId="77777777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5. Право на возмещение части стоимости путевки за счёт субсидии для лиц, направляющих детей на отдых в загородный лагерь повторно, возникает только после реализации такого права лицами, направляющими детей на отдых впервые.</w:t>
      </w:r>
    </w:p>
    <w:p w14:paraId="7F6F14D1" w14:textId="5B0C1A13" w:rsidR="007E1DDE" w:rsidRPr="007E1DDE" w:rsidRDefault="007E1DDE" w:rsidP="007E1D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DDE">
        <w:rPr>
          <w:rFonts w:ascii="Times New Roman" w:hAnsi="Times New Roman" w:cs="Times New Roman"/>
          <w:sz w:val="28"/>
          <w:szCs w:val="28"/>
        </w:rPr>
        <w:t>6. Оставшаяся часть стоимости путевки (разница между полной стоимостью путевки в загородный лагерь и суммой субсидии, выделенной из бюджета) возмещается загородному лагерю юридическими и физическими лицами.</w:t>
      </w:r>
    </w:p>
    <w:sectPr w:rsidR="007E1DDE" w:rsidRPr="007E1DDE" w:rsidSect="00163982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BB"/>
    <w:rsid w:val="00005129"/>
    <w:rsid w:val="00155146"/>
    <w:rsid w:val="00163982"/>
    <w:rsid w:val="001A071F"/>
    <w:rsid w:val="00367AAD"/>
    <w:rsid w:val="004D48BB"/>
    <w:rsid w:val="007E1DDE"/>
    <w:rsid w:val="00B1027C"/>
    <w:rsid w:val="00E4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3E2F"/>
  <w15:chartTrackingRefBased/>
  <w15:docId w15:val="{15E55DC8-52A8-4D00-A983-90F9468D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7</cp:revision>
  <dcterms:created xsi:type="dcterms:W3CDTF">2024-05-17T06:13:00Z</dcterms:created>
  <dcterms:modified xsi:type="dcterms:W3CDTF">2025-03-26T07:50:00Z</dcterms:modified>
</cp:coreProperties>
</file>